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B3A35">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Cs/>
          <w:sz w:val="24"/>
          <w:szCs w:val="24"/>
        </w:rPr>
        <w:t>3GPP TSG-RAN WG2 Meeting #12</w:t>
      </w:r>
      <w:r>
        <w:rPr>
          <w:rFonts w:hint="eastAsia" w:ascii="Times New Roman" w:hAnsi="Times New Roman" w:cs="Times New Roman"/>
          <w:b/>
          <w:iCs/>
          <w:sz w:val="24"/>
          <w:szCs w:val="24"/>
          <w:lang w:val="en-US" w:eastAsia="zh-CN"/>
        </w:rPr>
        <w:t>7bis</w:t>
      </w:r>
      <w:r>
        <w:rPr>
          <w:rFonts w:hint="eastAsia" w:ascii="Times New Roman" w:hAnsi="Times New Roman" w:cs="Times New Roman"/>
          <w:b/>
          <w:iCs/>
          <w:sz w:val="24"/>
          <w:szCs w:val="24"/>
        </w:rPr>
        <w:t xml:space="preserve">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ascii="Times New Roman" w:hAnsi="Times New Roman" w:cs="Times New Roman"/>
          <w:b/>
          <w:iCs/>
          <w:sz w:val="24"/>
          <w:szCs w:val="24"/>
        </w:rPr>
        <w:t>R2-2</w:t>
      </w:r>
      <w:r>
        <w:rPr>
          <w:rFonts w:hint="eastAsia" w:ascii="Times New Roman" w:hAnsi="Times New Roman" w:cs="Times New Roman"/>
          <w:b/>
          <w:iCs/>
          <w:sz w:val="24"/>
          <w:szCs w:val="24"/>
        </w:rPr>
        <w:t>4</w:t>
      </w:r>
      <w:r>
        <w:rPr>
          <w:rFonts w:hint="eastAsia" w:ascii="Times New Roman" w:hAnsi="Times New Roman" w:cs="Times New Roman"/>
          <w:b/>
          <w:iCs/>
          <w:sz w:val="24"/>
          <w:szCs w:val="24"/>
          <w:lang w:val="en-US" w:eastAsia="zh-CN"/>
        </w:rPr>
        <w:t>09074</w:t>
      </w:r>
      <w:bookmarkStart w:id="2" w:name="_GoBack"/>
      <w:bookmarkEnd w:id="2"/>
    </w:p>
    <w:p w14:paraId="5D57EBE4">
      <w:pPr>
        <w:outlineLvl w:val="0"/>
        <w:rPr>
          <w:rFonts w:ascii="Times New Roman" w:hAnsi="Times New Roman" w:cs="Times New Roman"/>
          <w:b/>
          <w:sz w:val="24"/>
          <w:szCs w:val="24"/>
        </w:rPr>
      </w:pPr>
      <w:r>
        <w:rPr>
          <w:rFonts w:ascii="Times New Roman" w:hAnsi="Times New Roman" w:cs="Times New Roman"/>
          <w:b/>
          <w:sz w:val="24"/>
          <w:szCs w:val="24"/>
        </w:rPr>
        <w:t>Hefei, China, Oct 14th – 18th, 2024</w:t>
      </w:r>
    </w:p>
    <w:p w14:paraId="3793BA8B">
      <w:pPr>
        <w:rPr>
          <w:rFonts w:ascii="Times New Roman" w:hAnsi="Times New Roman" w:cs="Times New Roman"/>
          <w:b/>
          <w:bCs/>
          <w:sz w:val="22"/>
        </w:rPr>
      </w:pPr>
    </w:p>
    <w:p w14:paraId="1409395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5047A980">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w:t>
      </w:r>
      <w:r>
        <w:rPr>
          <w:rFonts w:hint="eastAsia" w:ascii="Times New Roman" w:hAnsi="Times New Roman" w:cs="Times New Roman"/>
          <w:b/>
          <w:sz w:val="24"/>
          <w:szCs w:val="24"/>
        </w:rPr>
        <w:t xml:space="preserve"> DSR enhancement</w:t>
      </w:r>
    </w:p>
    <w:p w14:paraId="0D328291">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7.4</w:t>
      </w:r>
      <w:r>
        <w:rPr>
          <w:rFonts w:hint="eastAsia" w:ascii="Times New Roman" w:hAnsi="Times New Roman" w:cs="Times New Roman"/>
          <w:b/>
          <w:sz w:val="24"/>
          <w:szCs w:val="24"/>
          <w:lang w:val="en-US" w:eastAsia="zh-CN"/>
        </w:rPr>
        <w:t>.2</w:t>
      </w:r>
    </w:p>
    <w:p w14:paraId="511447D0">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6B6E9882">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ascii="Times New Roman" w:hAnsi="Times New Roman"/>
          <w:szCs w:val="28"/>
        </w:rPr>
        <w:t>Introduction</w:t>
      </w:r>
    </w:p>
    <w:p w14:paraId="012B20C1">
      <w:pPr>
        <w:spacing w:after="120" w:afterLines="50" w:line="360" w:lineRule="auto"/>
        <w:rPr>
          <w:rFonts w:hint="eastAsia" w:ascii="Times New Roman" w:hAnsi="Times New Roman" w:cs="Times New Roman" w:eastAsiaTheme="minorEastAsia"/>
          <w:lang w:val="en-US" w:eastAsia="zh-CN"/>
        </w:rPr>
      </w:pPr>
      <w:r>
        <w:rPr>
          <w:rFonts w:hint="eastAsia" w:ascii="Times New Roman" w:hAnsi="Times New Roman" w:cs="Times New Roman"/>
        </w:rPr>
        <w:t>In RAN2 #12</w:t>
      </w:r>
      <w:r>
        <w:rPr>
          <w:rFonts w:hint="eastAsia" w:ascii="Times New Roman" w:hAnsi="Times New Roman" w:cs="Times New Roman"/>
          <w:lang w:val="en-US" w:eastAsia="zh-CN"/>
        </w:rPr>
        <w:t>7</w:t>
      </w:r>
      <w:r>
        <w:rPr>
          <w:rFonts w:hint="eastAsia" w:ascii="Times New Roman" w:hAnsi="Times New Roman" w:cs="Times New Roman"/>
        </w:rPr>
        <w:t xml:space="preserve"> meeting, we have discussed the </w:t>
      </w:r>
      <w:r>
        <w:rPr>
          <w:rFonts w:hint="eastAsia" w:ascii="Times New Roman" w:hAnsi="Times New Roman" w:cs="Times New Roman"/>
          <w:lang w:val="en-US" w:eastAsia="zh-CN"/>
        </w:rPr>
        <w:t>DSR</w:t>
      </w:r>
      <w:r>
        <w:rPr>
          <w:rFonts w:hint="eastAsia" w:ascii="Times New Roman" w:hAnsi="Times New Roman" w:cs="Times New Roman"/>
        </w:rPr>
        <w:t xml:space="preserve"> enhancement </w:t>
      </w:r>
      <w:r>
        <w:rPr>
          <w:rFonts w:hint="eastAsia" w:ascii="Times New Roman" w:hAnsi="Times New Roman" w:cs="Times New Roman"/>
          <w:lang w:val="en-US" w:eastAsia="zh-CN"/>
        </w:rPr>
        <w:t xml:space="preserve">extensively </w:t>
      </w:r>
      <w:r>
        <w:rPr>
          <w:rFonts w:hint="eastAsia" w:ascii="Times New Roman" w:hAnsi="Times New Roman" w:cs="Times New Roman"/>
        </w:rPr>
        <w:t>and reached the following agreements</w:t>
      </w:r>
      <w:bookmarkStart w:id="0" w:name="_Toc54284460"/>
      <w:r>
        <w:rPr>
          <w:rFonts w:hint="eastAsia" w:ascii="Times New Roman" w:hAnsi="Times New Roman" w:cs="Times New Roman"/>
          <w:lang w:val="en-US" w:eastAsia="zh-CN"/>
        </w:rPr>
        <w:t>:</w:t>
      </w:r>
    </w:p>
    <w:tbl>
      <w:tblPr>
        <w:tblStyle w:val="23"/>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3A16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54D999E1">
            <w:pPr>
              <w:pStyle w:val="54"/>
              <w:tabs>
                <w:tab w:val="clear" w:pos="1619"/>
              </w:tabs>
              <w:ind w:left="420"/>
            </w:pPr>
            <w:r>
              <w:rPr>
                <w:rFonts w:ascii="Times New Roman" w:hAnsi="Times New Roman" w:cs="Times New Roman"/>
              </w:rPr>
              <w:t xml:space="preserve">Network </w:t>
            </w:r>
            <w:r>
              <w:t>should be able to configure multiple remaining time thresholds for reporting for each LCG to report multiple pairs of remaining time and buffer sizes per LCG.</w:t>
            </w:r>
          </w:p>
          <w:p w14:paraId="5BE4BFC3">
            <w:pPr>
              <w:pStyle w:val="54"/>
              <w:tabs>
                <w:tab w:val="clear" w:pos="1619"/>
              </w:tabs>
              <w:ind w:left="420" w:leftChars="0" w:hanging="420" w:hangingChars="200"/>
            </w:pPr>
            <w:r>
              <w:t>For enhanced DSR:</w:t>
            </w:r>
          </w:p>
          <w:p w14:paraId="006BB717">
            <w:pPr>
              <w:pStyle w:val="54"/>
              <w:numPr>
                <w:ilvl w:val="2"/>
                <w:numId w:val="2"/>
              </w:numPr>
              <w:tabs>
                <w:tab w:val="clear" w:pos="2160"/>
                <w:tab w:val="clear" w:pos="1619"/>
              </w:tabs>
              <w:ind w:left="840" w:leftChars="200" w:hanging="420" w:hangingChars="200"/>
            </w:pPr>
            <w:r>
              <w:t>There will be a single triggering threshold, as in Rel-18. FFS whether there are any constraints on how the NW configures DSR triggering and reporting thresholds</w:t>
            </w:r>
          </w:p>
          <w:p w14:paraId="4CD5D217">
            <w:pPr>
              <w:pStyle w:val="54"/>
              <w:numPr>
                <w:ilvl w:val="2"/>
                <w:numId w:val="2"/>
              </w:numPr>
              <w:tabs>
                <w:tab w:val="clear" w:pos="2160"/>
                <w:tab w:val="clear" w:pos="1619"/>
              </w:tabs>
              <w:ind w:left="840" w:leftChars="200" w:hanging="420" w:hangingChars="200"/>
            </w:pPr>
            <w:r>
              <w:t>FFS whether there is any impact on delay critical data definition due to multiple reporting thresholds in the DSR</w:t>
            </w:r>
          </w:p>
          <w:p w14:paraId="54B4151A">
            <w:pPr>
              <w:pStyle w:val="54"/>
              <w:numPr>
                <w:ilvl w:val="2"/>
                <w:numId w:val="2"/>
              </w:numPr>
              <w:tabs>
                <w:tab w:val="clear" w:pos="2160"/>
                <w:tab w:val="clear" w:pos="1619"/>
              </w:tabs>
              <w:ind w:left="840" w:leftChars="200" w:hanging="420" w:hangingChars="200"/>
              <w:rPr>
                <w:rFonts w:ascii="Times New Roman" w:hAnsi="Times New Roman" w:cs="Times New Roman"/>
              </w:rPr>
            </w:pPr>
            <w:r>
              <w:t>FFS whether to include non-delay critical data ahead of delay critical data in the buffer size calculation for DSR</w:t>
            </w:r>
          </w:p>
        </w:tc>
      </w:tr>
    </w:tbl>
    <w:p w14:paraId="3F762B9F">
      <w:pPr>
        <w:spacing w:before="120" w:beforeLines="50" w:after="120" w:afterLines="50" w:line="360" w:lineRule="auto"/>
        <w:rPr>
          <w:rFonts w:hint="eastAsia"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contribution we </w:t>
      </w:r>
      <w:r>
        <w:rPr>
          <w:rFonts w:hint="eastAsia" w:ascii="Times New Roman" w:hAnsi="Times New Roman" w:cs="Times New Roman"/>
        </w:rPr>
        <w:t xml:space="preserve">will discuss </w:t>
      </w:r>
      <w:r>
        <w:rPr>
          <w:rFonts w:hint="eastAsia" w:ascii="Times New Roman" w:hAnsi="Times New Roman" w:cs="Times New Roman"/>
          <w:lang w:val="en-US" w:eastAsia="zh-CN"/>
        </w:rPr>
        <w:t xml:space="preserve">the FFSs related to </w:t>
      </w:r>
      <w:r>
        <w:rPr>
          <w:rFonts w:hint="eastAsia" w:ascii="Times New Roman" w:hAnsi="Times New Roman" w:cs="Times New Roman"/>
        </w:rPr>
        <w:t xml:space="preserve">DSR </w:t>
      </w:r>
      <w:r>
        <w:rPr>
          <w:rFonts w:hint="eastAsia" w:ascii="Times New Roman" w:hAnsi="Times New Roman" w:cs="Times New Roman"/>
          <w:lang w:val="en-US" w:eastAsia="zh-CN"/>
        </w:rPr>
        <w:t>enhancement.</w:t>
      </w:r>
      <w:r>
        <w:rPr>
          <w:rFonts w:hint="eastAsia" w:ascii="Times New Roman" w:hAnsi="Times New Roman" w:cs="Times New Roman"/>
        </w:rPr>
        <w:t xml:space="preserve"> </w:t>
      </w:r>
    </w:p>
    <w:bookmarkEnd w:id="0"/>
    <w:p w14:paraId="29F16736">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14:paraId="6399EBDB">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The thresholds configuration for DSR triggering and reporting</w:t>
      </w:r>
    </w:p>
    <w:p w14:paraId="53DBBE51">
      <w:pPr>
        <w:spacing w:before="120" w:beforeLines="50" w:after="120" w:afterLines="50" w:line="360" w:lineRule="auto"/>
        <w:rPr>
          <w:rFonts w:hint="eastAsia" w:ascii="Times New Roman" w:hAnsi="Times New Roman" w:eastAsia="宋体" w:cs="Times New Roman"/>
          <w:sz w:val="24"/>
          <w:szCs w:val="24"/>
          <w:lang w:val="en-US" w:eastAsia="zh-CN"/>
        </w:rPr>
      </w:pPr>
      <w:r>
        <w:rPr>
          <w:rFonts w:hint="eastAsia" w:ascii="Times New Roman" w:hAnsi="Times New Roman" w:cs="Times New Roman"/>
          <w:lang w:val="en-US" w:eastAsia="zh-CN"/>
        </w:rPr>
        <w:t>In Release 18, a single threshold configuration is used for both DSR triggering and reporting, which includes only one pair of remaining time and buffer size. Based on agreements from the previous meeting, a single triggering threshold will be applied to multiple pairs of remaining time and buffer sizes per LCG, using multiple reporting thresholds. There are two typical configuration solutions for the triggering and reporting thresholds as follows:</w:t>
      </w:r>
    </w:p>
    <w:p w14:paraId="551A7091">
      <w:pPr>
        <w:numPr>
          <w:ilvl w:val="0"/>
          <w:numId w:val="5"/>
        </w:numPr>
        <w:spacing w:before="120" w:beforeLines="50" w:after="120" w:afterLines="50" w:line="360" w:lineRule="auto"/>
        <w:ind w:left="420" w:leftChars="0" w:hanging="420" w:firstLineChars="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Solution A: multiple reporting thresholds and a separate triggering threshold</w:t>
      </w:r>
    </w:p>
    <w:p w14:paraId="3FAE5970">
      <w:pPr>
        <w:spacing w:before="120" w:beforeLines="50" w:after="120" w:afterLines="50" w:line="360" w:lineRule="auto"/>
        <w:rPr>
          <w:rFonts w:hint="default" w:ascii="Times New Roman" w:hAnsi="Times New Roman" w:eastAsia="宋体" w:cs="Times New Roman"/>
          <w:sz w:val="24"/>
          <w:szCs w:val="24"/>
          <w:lang w:val="en-US" w:eastAsia="zh-CN"/>
        </w:rPr>
      </w:pPr>
      <w:r>
        <w:rPr>
          <w:rFonts w:hint="default" w:ascii="Times New Roman" w:hAnsi="Times New Roman" w:cs="Times New Roman"/>
          <w:lang w:val="en-US" w:eastAsia="zh-CN"/>
        </w:rPr>
        <w:t>In this solution, the existing single threshold configuration from Release 18 can be reused for the triggering threshold, while additional multiple reporting thresholds should be introduced. This approach offers greater flexibility, as there is no constraint linking the triggering threshold with the reporting thresholds. However, the benefits and scenarios for using a separate triggering threshold configuration are unclear and could lead to increased signaling overhead.</w:t>
      </w:r>
    </w:p>
    <w:p w14:paraId="5E83B117">
      <w:pPr>
        <w:numPr>
          <w:ilvl w:val="0"/>
          <w:numId w:val="5"/>
        </w:numPr>
        <w:spacing w:before="120" w:beforeLines="50" w:after="120" w:afterLines="50" w:line="360" w:lineRule="auto"/>
        <w:ind w:left="420" w:leftChars="0" w:hanging="420" w:firstLineChars="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Solution B: multiple reporting thresholds and one of them is selected for triggering threshold</w:t>
      </w:r>
    </w:p>
    <w:p w14:paraId="36E68823">
      <w:pPr>
        <w:spacing w:before="120" w:beforeLines="50" w:after="120" w:afterLines="50" w:line="360" w:lineRule="auto"/>
        <w:rPr>
          <w:rFonts w:hint="eastAsia" w:ascii="Times New Roman" w:hAnsi="Times New Roman" w:eastAsia="宋体" w:cs="Times New Roman"/>
          <w:sz w:val="24"/>
          <w:szCs w:val="24"/>
          <w:lang w:val="en-US" w:eastAsia="zh-CN"/>
        </w:rPr>
      </w:pPr>
      <w:r>
        <w:rPr>
          <w:rFonts w:hint="eastAsia" w:ascii="Times New Roman" w:hAnsi="Times New Roman" w:cs="Times New Roman"/>
          <w:lang w:val="en-US" w:eastAsia="zh-CN"/>
        </w:rPr>
        <w:t>In this solution, one or multiple reporting thresholds will be configured, with one selected as the triggering threshold. The existing single threshold configuration from Release 18 can be reused when there is only one reporting threshold. For cases with multiple reporting thresholds, the triggering threshold can be configured as follows:</w:t>
      </w:r>
    </w:p>
    <w:p w14:paraId="0935777A">
      <w:pPr>
        <w:numPr>
          <w:ilvl w:val="0"/>
          <w:numId w:val="6"/>
        </w:numPr>
        <w:spacing w:before="120" w:beforeLines="50" w:after="120" w:afterLines="50" w:line="360" w:lineRule="auto"/>
        <w:ind w:left="840" w:leftChars="0" w:hanging="420" w:firstLineChars="0"/>
        <w:rPr>
          <w:rFonts w:hint="default" w:ascii="Times New Roman" w:hAnsi="Times New Roman" w:eastAsia="宋体" w:cs="Times New Roman"/>
          <w:sz w:val="24"/>
          <w:szCs w:val="24"/>
          <w:lang w:val="en-US" w:eastAsia="zh-CN"/>
        </w:rPr>
      </w:pPr>
      <w:r>
        <w:rPr>
          <w:rFonts w:hint="eastAsia" w:ascii="Times New Roman" w:hAnsi="Times New Roman" w:cs="Times New Roman"/>
          <w:lang w:val="en-US" w:eastAsia="zh-CN"/>
        </w:rPr>
        <w:t>The first one can be configured by default and implicitly for the triggering threshold.</w:t>
      </w:r>
    </w:p>
    <w:p w14:paraId="2450FD48">
      <w:pPr>
        <w:numPr>
          <w:ilvl w:val="0"/>
          <w:numId w:val="6"/>
        </w:numPr>
        <w:spacing w:before="120" w:beforeLines="50" w:after="120" w:afterLines="50" w:line="360" w:lineRule="auto"/>
        <w:ind w:left="840" w:leftChars="0" w:hanging="420" w:firstLineChars="0"/>
        <w:rPr>
          <w:rFonts w:hint="default" w:ascii="Times New Roman" w:hAnsi="Times New Roman" w:eastAsia="宋体" w:cs="Times New Roman"/>
          <w:sz w:val="24"/>
          <w:szCs w:val="24"/>
          <w:lang w:val="en-US" w:eastAsia="zh-CN"/>
        </w:rPr>
      </w:pPr>
      <w:r>
        <w:rPr>
          <w:rFonts w:hint="eastAsia" w:ascii="Times New Roman" w:hAnsi="Times New Roman" w:cs="Times New Roman"/>
          <w:lang w:val="en-US" w:eastAsia="zh-CN"/>
        </w:rPr>
        <w:t>One of the multiple reporting thresholds will be configured explicitly for the triggering threshold with additional signaling. For example, one of reporting thresholds is indicated as triggering threshold by a bitmap or a index information.</w:t>
      </w:r>
    </w:p>
    <w:p w14:paraId="7ADB7BFE">
      <w:pPr>
        <w:spacing w:before="120" w:beforeLines="50" w:after="120" w:afterLines="50" w:line="360" w:lineRule="auto"/>
        <w:rPr>
          <w:rFonts w:hint="default" w:ascii="Times New Roman" w:hAnsi="Times New Roman" w:eastAsia="宋体" w:cs="Times New Roman"/>
          <w:sz w:val="24"/>
          <w:szCs w:val="24"/>
          <w:lang w:val="en-US" w:eastAsia="zh-CN"/>
        </w:rPr>
      </w:pPr>
      <w:r>
        <w:rPr>
          <w:rFonts w:hint="default" w:ascii="Times New Roman" w:hAnsi="Times New Roman" w:cs="Times New Roman"/>
          <w:lang w:val="en-US" w:eastAsia="zh-CN"/>
        </w:rPr>
        <w:t>Based on the analysis and comparison above, Solution B, which uses the implicit configuration for the triggering threshold by selecting the first configured reporting threshold, is more efficient. It ensures smooth backward compatibility without any additional signaling overhead.</w:t>
      </w:r>
      <w:r>
        <w:rPr>
          <w:rFonts w:hint="eastAsia" w:ascii="Times New Roman" w:hAnsi="Times New Roman" w:cs="Times New Roman"/>
          <w:lang w:val="en-US" w:eastAsia="zh-CN"/>
        </w:rPr>
        <w:t xml:space="preserve"> So we propose:</w:t>
      </w:r>
    </w:p>
    <w:p w14:paraId="1D946DD5">
      <w:pPr>
        <w:spacing w:after="120" w:afterLines="50" w:line="360" w:lineRule="auto"/>
        <w:rPr>
          <w:rFonts w:hint="default" w:ascii="Times New Roman" w:hAnsi="Times New Roman" w:eastAsia="宋体" w:cs="Times New Roman"/>
          <w:sz w:val="24"/>
          <w:szCs w:val="24"/>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configure multiple reporting thresholds and the first one is configured for triggering threshold implicitly for DSR</w:t>
      </w:r>
      <w:r>
        <w:rPr>
          <w:rFonts w:ascii="Times New Roman" w:hAnsi="Times New Roman" w:cs="Times New Roman"/>
          <w:b/>
          <w:bCs/>
          <w:i/>
          <w:iCs/>
          <w:szCs w:val="21"/>
        </w:rPr>
        <w:t>.</w:t>
      </w:r>
    </w:p>
    <w:p w14:paraId="675847A2">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About the d</w:t>
      </w:r>
      <w:r>
        <w:rPr>
          <w:rFonts w:ascii="Times New Roman" w:hAnsi="Times New Roman" w:eastAsia="宋体" w:cs="Times New Roman"/>
          <w:sz w:val="24"/>
          <w:szCs w:val="24"/>
        </w:rPr>
        <w:t>elay critical data definition</w:t>
      </w:r>
    </w:p>
    <w:tbl>
      <w:tblPr>
        <w:tblStyle w:val="23"/>
        <w:tblW w:w="0" w:type="auto"/>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8"/>
      </w:tblGrid>
      <w:tr w14:paraId="3D2C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8" w:type="dxa"/>
          </w:tcPr>
          <w:p w14:paraId="0EBC30EC">
            <w:pPr>
              <w:widowControl/>
              <w:overflowPunct w:val="0"/>
              <w:autoSpaceDE w:val="0"/>
              <w:autoSpaceDN w:val="0"/>
              <w:adjustRightInd w:val="0"/>
              <w:spacing w:after="180"/>
              <w:jc w:val="left"/>
              <w:textAlignment w:val="baseline"/>
              <w:rPr>
                <w:rFonts w:hint="eastAsia" w:ascii="Times New Roman" w:hAnsi="Times New Roman" w:cs="Times New Roman"/>
                <w:vertAlign w:val="baseline"/>
                <w:lang w:val="en-US" w:eastAsia="zh-CN"/>
              </w:rPr>
            </w:pPr>
            <w:r>
              <w:rPr>
                <w:rFonts w:ascii="Times New Roman" w:hAnsi="Times New Roman" w:eastAsia="等线" w:cs="Times New Roman"/>
                <w:b/>
                <w:kern w:val="0"/>
                <w:sz w:val="20"/>
                <w:szCs w:val="20"/>
                <w:lang w:val="en-GB" w:eastAsia="ko-KR"/>
              </w:rPr>
              <w:t>Delay-critical PDCP SDU</w:t>
            </w:r>
            <w:r>
              <w:rPr>
                <w:rFonts w:ascii="Times New Roman" w:hAnsi="Times New Roman" w:eastAsia="等线" w:cs="Times New Roman"/>
                <w:kern w:val="0"/>
                <w:sz w:val="20"/>
                <w:szCs w:val="20"/>
                <w:lang w:val="en-GB" w:eastAsia="ko-KR"/>
              </w:rPr>
              <w:t xml:space="preserve">: if </w:t>
            </w:r>
            <w:r>
              <w:rPr>
                <w:rFonts w:ascii="Times New Roman" w:hAnsi="Times New Roman" w:eastAsia="Malgun Gothic" w:cs="Times New Roman"/>
                <w:i/>
                <w:kern w:val="0"/>
                <w:sz w:val="20"/>
                <w:szCs w:val="20"/>
                <w:lang w:val="en-GB" w:eastAsia="ko-KR"/>
              </w:rPr>
              <w:t>pdu-SetDiscard</w:t>
            </w:r>
            <w:r>
              <w:rPr>
                <w:rFonts w:ascii="Times New Roman" w:hAnsi="Times New Roman" w:eastAsia="Malgun Gothic" w:cs="Times New Roman"/>
                <w:kern w:val="0"/>
                <w:sz w:val="20"/>
                <w:szCs w:val="20"/>
                <w:lang w:val="en-GB" w:eastAsia="ko-KR"/>
              </w:rPr>
              <w:t xml:space="preserve"> is not configured, </w:t>
            </w:r>
            <w:r>
              <w:rPr>
                <w:rFonts w:ascii="Times New Roman" w:hAnsi="Times New Roman" w:eastAsia="等线" w:cs="Times New Roman"/>
                <w:kern w:val="0"/>
                <w:sz w:val="20"/>
                <w:szCs w:val="20"/>
                <w:lang w:val="en-GB" w:eastAsia="ja-JP"/>
              </w:rPr>
              <w:t xml:space="preserve">a PDCP SDU for which the remaining time till </w:t>
            </w:r>
            <w:r>
              <w:rPr>
                <w:rFonts w:ascii="Times New Roman" w:hAnsi="Times New Roman" w:eastAsia="等线" w:cs="Times New Roman"/>
                <w:i/>
                <w:kern w:val="0"/>
                <w:sz w:val="20"/>
                <w:szCs w:val="20"/>
                <w:lang w:val="en-GB" w:eastAsia="ja-JP"/>
              </w:rPr>
              <w:t>discardTimer</w:t>
            </w:r>
            <w:r>
              <w:rPr>
                <w:rFonts w:ascii="Times New Roman" w:hAnsi="Times New Roman" w:eastAsia="等线" w:cs="Times New Roman"/>
                <w:kern w:val="0"/>
                <w:sz w:val="20"/>
                <w:szCs w:val="20"/>
                <w:lang w:val="en-GB" w:eastAsia="ja-JP"/>
              </w:rPr>
              <w:t xml:space="preserve"> expiry is less than the </w:t>
            </w:r>
            <w:r>
              <w:rPr>
                <w:rFonts w:ascii="Times New Roman" w:hAnsi="Times New Roman" w:eastAsia="等线" w:cs="Times New Roman"/>
                <w:i/>
                <w:kern w:val="0"/>
                <w:sz w:val="20"/>
                <w:szCs w:val="20"/>
                <w:lang w:val="en-GB" w:eastAsia="ja-JP"/>
              </w:rPr>
              <w:t>remainingTimeThreshold</w:t>
            </w:r>
            <w:r>
              <w:rPr>
                <w:rFonts w:ascii="Times New Roman" w:hAnsi="Times New Roman" w:eastAsia="等线" w:cs="Times New Roman"/>
                <w:kern w:val="0"/>
                <w:sz w:val="20"/>
                <w:szCs w:val="20"/>
                <w:lang w:val="en-GB" w:eastAsia="ja-JP"/>
              </w:rPr>
              <w:t>. I</w:t>
            </w:r>
            <w:r>
              <w:rPr>
                <w:rFonts w:ascii="Times New Roman" w:hAnsi="Times New Roman" w:eastAsia="Malgun Gothic" w:cs="Times New Roman"/>
                <w:kern w:val="0"/>
                <w:sz w:val="20"/>
                <w:szCs w:val="20"/>
                <w:lang w:val="en-GB" w:eastAsia="ko-KR"/>
              </w:rPr>
              <w:t>f</w:t>
            </w:r>
            <w:r>
              <w:rPr>
                <w:rFonts w:ascii="Times New Roman" w:hAnsi="Times New Roman" w:eastAsia="Malgun Gothic" w:cs="Times New Roman"/>
                <w:i/>
                <w:kern w:val="0"/>
                <w:sz w:val="20"/>
                <w:szCs w:val="20"/>
                <w:lang w:val="en-GB" w:eastAsia="ko-KR"/>
              </w:rPr>
              <w:t xml:space="preserve"> pdu-SetDiscard</w:t>
            </w:r>
            <w:r>
              <w:rPr>
                <w:rFonts w:ascii="Times New Roman" w:hAnsi="Times New Roman" w:eastAsia="Malgun Gothic" w:cs="Times New Roman"/>
                <w:kern w:val="0"/>
                <w:sz w:val="20"/>
                <w:szCs w:val="20"/>
                <w:lang w:val="en-GB" w:eastAsia="ko-KR"/>
              </w:rPr>
              <w:t xml:space="preserve"> is configured, a PDCP SDU belonging to a PDU Set of which at least one</w:t>
            </w:r>
            <w:r>
              <w:rPr>
                <w:rFonts w:ascii="Times New Roman" w:hAnsi="Times New Roman" w:eastAsia="等线" w:cs="Times New Roman"/>
                <w:kern w:val="0"/>
                <w:sz w:val="20"/>
                <w:szCs w:val="20"/>
                <w:lang w:val="en-GB" w:eastAsia="ja-JP"/>
              </w:rPr>
              <w:t xml:space="preserve"> PDCP SDU has the remaining time till </w:t>
            </w:r>
            <w:r>
              <w:rPr>
                <w:rFonts w:ascii="Times New Roman" w:hAnsi="Times New Roman" w:eastAsia="等线" w:cs="Times New Roman"/>
                <w:i/>
                <w:kern w:val="0"/>
                <w:sz w:val="20"/>
                <w:szCs w:val="20"/>
                <w:lang w:val="en-GB" w:eastAsia="ja-JP"/>
              </w:rPr>
              <w:t>discardTimer</w:t>
            </w:r>
            <w:r>
              <w:rPr>
                <w:rFonts w:ascii="Times New Roman" w:hAnsi="Times New Roman" w:eastAsia="等线" w:cs="Times New Roman"/>
                <w:kern w:val="0"/>
                <w:sz w:val="20"/>
                <w:szCs w:val="20"/>
                <w:lang w:val="en-GB" w:eastAsia="ja-JP"/>
              </w:rPr>
              <w:t xml:space="preserve"> expiry less than the </w:t>
            </w:r>
            <w:r>
              <w:rPr>
                <w:rFonts w:ascii="Times New Roman" w:hAnsi="Times New Roman" w:eastAsia="等线" w:cs="Times New Roman"/>
                <w:i/>
                <w:kern w:val="0"/>
                <w:sz w:val="20"/>
                <w:szCs w:val="20"/>
                <w:lang w:val="en-GB" w:eastAsia="ja-JP"/>
              </w:rPr>
              <w:t>remainingTimeThreshold</w:t>
            </w:r>
            <w:r>
              <w:rPr>
                <w:rFonts w:ascii="Times New Roman" w:hAnsi="Times New Roman" w:eastAsia="等线" w:cs="Times New Roman"/>
                <w:kern w:val="0"/>
                <w:sz w:val="20"/>
                <w:szCs w:val="20"/>
                <w:lang w:val="en-GB" w:eastAsia="ja-JP"/>
              </w:rPr>
              <w:t>.</w:t>
            </w:r>
          </w:p>
        </w:tc>
      </w:tr>
    </w:tbl>
    <w:p w14:paraId="5CD7D5A6">
      <w:pPr>
        <w:spacing w:before="120" w:beforeLines="50" w:after="120" w:afterLines="50"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In Release 18, delay-critical data is defined based on a configured triggering threshold. This definition can still be applied, as there remains only one configured triggering threshold. Data with a remaining time smaller than this threshold can be considered delay-critical, regardless of the solutions for configuring the threshold. The difference from Release 18 is that delay-critical data can now be further categorized into different critical levels with more detailed information and some non-delay critical data information are reported simultaneously. Therefore, we don</w:t>
      </w:r>
      <w:r>
        <w:rPr>
          <w:rFonts w:hint="default" w:ascii="Times New Roman" w:hAnsi="Times New Roman" w:cs="Times New Roman"/>
          <w:lang w:val="en-US" w:eastAsia="zh-CN"/>
        </w:rPr>
        <w:t>’</w:t>
      </w:r>
      <w:r>
        <w:rPr>
          <w:rFonts w:hint="eastAsia" w:ascii="Times New Roman" w:hAnsi="Times New Roman" w:cs="Times New Roman"/>
          <w:lang w:val="en-US" w:eastAsia="zh-CN"/>
        </w:rPr>
        <w:t>t think there is any impacts on delay critical data definition due to multiple reporting thresholds in the DSR and propose:</w:t>
      </w:r>
    </w:p>
    <w:p w14:paraId="0E142C69">
      <w:pPr>
        <w:spacing w:after="120" w:afterLines="50" w:line="360" w:lineRule="auto"/>
        <w:rPr>
          <w:rFonts w:hint="eastAsia" w:ascii="Times New Roman" w:hAnsi="Times New Roman" w:eastAsia="宋体" w:cs="Times New Roman"/>
          <w:sz w:val="24"/>
          <w:szCs w:val="24"/>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reuse the legacy definition for delay critical data for the case of multiple reporting thresholds in the DSR</w:t>
      </w:r>
      <w:r>
        <w:rPr>
          <w:rFonts w:ascii="Times New Roman" w:hAnsi="Times New Roman" w:cs="Times New Roman"/>
          <w:b/>
          <w:bCs/>
          <w:i/>
          <w:iCs/>
          <w:szCs w:val="21"/>
        </w:rPr>
        <w:t>.</w:t>
      </w:r>
    </w:p>
    <w:p w14:paraId="093F6EE4">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PSI in DSR or not</w:t>
      </w:r>
    </w:p>
    <w:p w14:paraId="06E42F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Following are some analysis on whether the PSI should be included in DSR or not:</w:t>
      </w:r>
    </w:p>
    <w:p w14:paraId="1304F570">
      <w:pPr>
        <w:numPr>
          <w:ilvl w:val="0"/>
          <w:numId w:val="6"/>
        </w:numPr>
        <w:spacing w:before="120" w:beforeLines="50" w:after="120" w:afterLines="50" w:line="360" w:lineRule="auto"/>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PSI is only useful during congestion, which rarely occurs. Therefore, carrying PSI information under normal conditions would result in unnecessary resource wastage.</w:t>
      </w:r>
    </w:p>
    <w:p w14:paraId="56D4889C">
      <w:pPr>
        <w:numPr>
          <w:ilvl w:val="0"/>
          <w:numId w:val="6"/>
        </w:numPr>
        <w:spacing w:before="120" w:beforeLines="50" w:after="120" w:afterLines="50" w:line="360" w:lineRule="auto"/>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When congestion does occur, PDUs with low PSI may be discarded due to the discard timer expiring on the UE side, while the gNB remains unaware of when or if the discarding happens.</w:t>
      </w:r>
    </w:p>
    <w:p w14:paraId="18F5FA48">
      <w:pPr>
        <w:numPr>
          <w:ilvl w:val="0"/>
          <w:numId w:val="6"/>
        </w:numPr>
        <w:spacing w:before="120" w:beforeLines="50" w:after="120" w:afterLines="50" w:line="360" w:lineRule="auto"/>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Including PSI information in the DSR will increase the format complexity of the DSR MAC CE, as it requires reporting multiple buffer sizes corresponding to different PSIs.</w:t>
      </w:r>
    </w:p>
    <w:p w14:paraId="781BFA0E">
      <w:pPr>
        <w:keepNext w:val="0"/>
        <w:keepLines w:val="0"/>
        <w:pageBreakBefore w:val="0"/>
        <w:widowControl w:val="0"/>
        <w:numPr>
          <w:ilvl w:val="0"/>
          <w:numId w:val="0"/>
        </w:numPr>
        <w:kinsoku/>
        <w:wordWrap/>
        <w:overflowPunct/>
        <w:topLinePunct w:val="0"/>
        <w:autoSpaceDE/>
        <w:autoSpaceDN/>
        <w:bidi w:val="0"/>
        <w:adjustRightInd/>
        <w:snapToGrid/>
        <w:spacing w:after="0" w:afterLines="50" w:line="360" w:lineRule="auto"/>
        <w:ind w:lef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Based on the above analyses, w</w:t>
      </w:r>
      <w:r>
        <w:rPr>
          <w:rFonts w:hint="default" w:ascii="Times New Roman" w:hAnsi="Times New Roman" w:cs="Times New Roman"/>
          <w:lang w:val="en-US" w:eastAsia="zh-CN"/>
        </w:rPr>
        <w:t xml:space="preserve">e </w:t>
      </w:r>
      <w:r>
        <w:rPr>
          <w:rFonts w:hint="eastAsia" w:ascii="Times New Roman" w:hAnsi="Times New Roman" w:cs="Times New Roman"/>
          <w:lang w:val="en-US" w:eastAsia="zh-CN"/>
        </w:rPr>
        <w:t>don</w:t>
      </w:r>
      <w:r>
        <w:rPr>
          <w:rFonts w:hint="default" w:ascii="Times New Roman" w:hAnsi="Times New Roman" w:cs="Times New Roman"/>
          <w:lang w:val="en-US" w:eastAsia="zh-CN"/>
        </w:rPr>
        <w:t>’</w:t>
      </w:r>
      <w:r>
        <w:rPr>
          <w:rFonts w:hint="eastAsia" w:ascii="Times New Roman" w:hAnsi="Times New Roman" w:cs="Times New Roman"/>
          <w:lang w:val="en-US" w:eastAsia="zh-CN"/>
        </w:rPr>
        <w:t>t think</w:t>
      </w:r>
      <w:r>
        <w:rPr>
          <w:rFonts w:hint="default" w:ascii="Times New Roman" w:hAnsi="Times New Roman" w:cs="Times New Roman"/>
          <w:lang w:val="en-US" w:eastAsia="zh-CN"/>
        </w:rPr>
        <w:t xml:space="preserve"> PSI information should not be included in the DSR </w:t>
      </w:r>
      <w:r>
        <w:rPr>
          <w:rFonts w:hint="eastAsia" w:ascii="Times New Roman" w:hAnsi="Times New Roman" w:cs="Times New Roman"/>
          <w:lang w:val="en-US" w:eastAsia="zh-CN"/>
        </w:rPr>
        <w:t>and propose</w:t>
      </w:r>
      <w:r>
        <w:rPr>
          <w:rFonts w:hint="default" w:ascii="Times New Roman" w:hAnsi="Times New Roman" w:cs="Times New Roman"/>
          <w:lang w:val="en-US" w:eastAsia="zh-CN"/>
        </w:rPr>
        <w:t>:</w:t>
      </w:r>
    </w:p>
    <w:p w14:paraId="31249660">
      <w:pPr>
        <w:spacing w:after="120" w:afterLines="50" w:line="360" w:lineRule="auto"/>
        <w:rPr>
          <w:rFonts w:hint="default" w:ascii="Times New Roman" w:hAnsi="Times New Roman" w:cs="Times New Roman"/>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not to include PSI information in DSR</w:t>
      </w:r>
      <w:r>
        <w:rPr>
          <w:rFonts w:ascii="Times New Roman" w:hAnsi="Times New Roman" w:cs="Times New Roman"/>
          <w:b/>
          <w:bCs/>
          <w:i/>
          <w:iCs/>
          <w:szCs w:val="21"/>
        </w:rPr>
        <w:t>.</w:t>
      </w:r>
    </w:p>
    <w:p w14:paraId="4EE40729">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The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other data</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and DSR</w:t>
      </w:r>
    </w:p>
    <w:p w14:paraId="4FD8AFAF">
      <w:pPr>
        <w:spacing w:before="120" w:beforeLines="50" w:after="120" w:afterLines="50"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As mentioned in section 2.2, the delay-critical data definition from Release 18 will be reused for cases with multiple pairs of remaining time and buffer sizes per LCG. This means that delay-critical data are not directly linked to the configured multiple reporting thresholds. Consequently, only some pairs of remaining time and buffer sizes in the DSR may relate to delay-critical data. In this scenario, including the buffer size information of all the"other data" in the same DSR is an efficient way to report buffer status information, minimizing the additional BSR with higher overhead. Here, "other data" refers to data in the buffer with remaining times larger than any configured reporting thresholds. So we propose:</w:t>
      </w:r>
    </w:p>
    <w:p w14:paraId="486028C8">
      <w:pPr>
        <w:spacing w:after="120" w:afterLines="50" w:line="360" w:lineRule="auto"/>
        <w:rPr>
          <w:rFonts w:hint="default"/>
          <w:lang w:val="en-US" w:eastAsia="zh-CN"/>
        </w:rPr>
      </w:pPr>
      <w:r>
        <w:rPr>
          <w:rFonts w:hint="eastAsia" w:ascii="Times New Roman" w:hAnsi="Times New Roman" w:cs="Times New Roman"/>
          <w:b/>
          <w:bCs/>
          <w:i/>
          <w:iCs/>
          <w:szCs w:val="21"/>
          <w:lang w:val="en-US" w:eastAsia="zh-CN"/>
        </w:rPr>
        <w:t>Proposal 4: It is suggested to included buffer size information of the</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other data</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in enhanced DSR based on the configured multiple reporting threshold.</w:t>
      </w:r>
    </w:p>
    <w:p w14:paraId="44CE9353">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MAC CE design for multiple pairs of remaining time and buffer size in DSR</w:t>
      </w:r>
    </w:p>
    <w:p w14:paraId="6A4DAE70">
      <w:pPr>
        <w:spacing w:before="120" w:beforeLines="50" w:after="120" w:afterLines="50" w:line="360" w:lineRule="auto"/>
        <w:rPr>
          <w:rFonts w:hint="default" w:ascii="Times New Roman" w:hAnsi="Times New Roman" w:cs="Times New Roman"/>
          <w:lang w:val="en-US"/>
        </w:rPr>
      </w:pPr>
      <w:r>
        <w:rPr>
          <w:rFonts w:hint="eastAsia" w:ascii="Times New Roman" w:hAnsi="Times New Roman" w:cs="Times New Roman"/>
          <w:lang w:val="en-US" w:eastAsia="zh-CN"/>
        </w:rPr>
        <w:t>Based on the</w:t>
      </w:r>
      <w:r>
        <w:rPr>
          <w:rFonts w:hint="eastAsia" w:ascii="Times New Roman" w:hAnsi="Times New Roman" w:cs="Times New Roman"/>
        </w:rPr>
        <w:t xml:space="preserve"> DSR </w:t>
      </w:r>
      <w:r>
        <w:rPr>
          <w:rFonts w:hint="eastAsia" w:ascii="Times New Roman" w:hAnsi="Times New Roman" w:cs="Times New Roman"/>
          <w:lang w:val="en-US" w:eastAsia="zh-CN"/>
        </w:rPr>
        <w:t xml:space="preserve">MAC CE </w:t>
      </w:r>
      <w:r>
        <w:rPr>
          <w:rFonts w:hint="eastAsia" w:ascii="Times New Roman" w:hAnsi="Times New Roman" w:cs="Times New Roman"/>
        </w:rPr>
        <w:t xml:space="preserve">in Release 18, which includes the remaining time </w:t>
      </w:r>
      <w:r>
        <w:rPr>
          <w:rFonts w:hint="eastAsia" w:ascii="Times New Roman" w:hAnsi="Times New Roman" w:cs="Times New Roman"/>
          <w:lang w:val="en-US" w:eastAsia="zh-CN"/>
        </w:rPr>
        <w:t xml:space="preserve">and the </w:t>
      </w:r>
      <w:r>
        <w:rPr>
          <w:rFonts w:hint="eastAsia" w:ascii="Times New Roman" w:hAnsi="Times New Roman" w:cs="Times New Roman"/>
        </w:rPr>
        <w:t xml:space="preserve">corresponding buffer size, </w:t>
      </w:r>
      <w:r>
        <w:rPr>
          <w:rFonts w:hint="eastAsia" w:ascii="Times New Roman" w:hAnsi="Times New Roman" w:cs="Times New Roman"/>
          <w:lang w:val="en-US" w:eastAsia="zh-CN"/>
        </w:rPr>
        <w:t>including multiple pairs of rem</w:t>
      </w:r>
      <w:r>
        <w:rPr>
          <w:rFonts w:hint="eastAsia" w:ascii="Times New Roman" w:hAnsi="Times New Roman" w:cs="Times New Roman"/>
        </w:rPr>
        <w:t>a</w:t>
      </w:r>
      <w:r>
        <w:rPr>
          <w:rFonts w:hint="eastAsia" w:ascii="Times New Roman" w:hAnsi="Times New Roman" w:cs="Times New Roman"/>
          <w:lang w:val="en-US" w:eastAsia="zh-CN"/>
        </w:rPr>
        <w:t>ining time and buffer size in DSR is inefficient. A potentially more efficient solution is to predefine multiple remaining time levels with maximum limits. Then, include a one-bit indicator for each remaining time level to signify whether there is buffer size information for the corresponding remaining time level for each LCG whose delay information is reported in the DSR. Figure 1 is an example for the DSR format for multiple pairs of remaining time and buffer size (the maximum level is 7).</w:t>
      </w:r>
    </w:p>
    <w:p w14:paraId="2154EEB4">
      <w:pPr>
        <w:spacing w:before="120" w:beforeLines="50" w:after="120" w:afterLines="50" w:line="360" w:lineRule="auto"/>
        <w:jc w:val="center"/>
        <w:rPr>
          <w:rFonts w:hint="eastAsia" w:ascii="Times New Roman" w:hAnsi="Times New Roman" w:cs="Times New Roman"/>
        </w:rPr>
      </w:pPr>
      <w:r>
        <w:rPr>
          <w:rFonts w:hint="eastAsia" w:ascii="Times New Roman" w:hAnsi="Times New Roman" w:cs="Times New Roman"/>
        </w:rPr>
        <w:object>
          <v:shape id="_x0000_i1025" o:spt="75" type="#_x0000_t75" style="height:236.45pt;width:191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70FD4AB9">
      <w:pPr>
        <w:spacing w:before="120" w:beforeLines="50" w:after="120" w:afterLines="50" w:line="360" w:lineRule="auto"/>
        <w:jc w:val="center"/>
        <w:rPr>
          <w:rFonts w:hint="eastAsia" w:ascii="Times New Roman" w:hAnsi="Times New Roman" w:cs="Times New Roman"/>
          <w:lang w:val="en-US" w:eastAsia="zh-CN"/>
        </w:rPr>
      </w:pPr>
      <w:r>
        <w:rPr>
          <w:rFonts w:hint="eastAsia" w:ascii="Times New Roman" w:hAnsi="Times New Roman" w:cs="Times New Roman"/>
          <w:lang w:val="en-US" w:eastAsia="zh-CN"/>
        </w:rPr>
        <w:t>Figure 1</w:t>
      </w:r>
    </w:p>
    <w:p w14:paraId="0BC4F466">
      <w:pPr>
        <w:keepNext w:val="0"/>
        <w:keepLines w:val="0"/>
        <w:pageBreakBefore w:val="0"/>
        <w:widowControl w:val="0"/>
        <w:kinsoku/>
        <w:wordWrap/>
        <w:overflowPunct/>
        <w:topLinePunct w:val="0"/>
        <w:autoSpaceDE/>
        <w:autoSpaceDN/>
        <w:bidi w:val="0"/>
        <w:adjustRightInd/>
        <w:snapToGrid/>
        <w:spacing w:before="120" w:beforeLines="50"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Regarding the real remaining time range for each remaining time level, two options can be considered:</w:t>
      </w:r>
    </w:p>
    <w:p w14:paraId="51E9532F">
      <w:pPr>
        <w:keepNext w:val="0"/>
        <w:keepLines w:val="0"/>
        <w:pageBreakBefore w:val="0"/>
        <w:widowControl w:val="0"/>
        <w:numPr>
          <w:ilvl w:val="0"/>
          <w:numId w:val="7"/>
        </w:numPr>
        <w:kinsoku/>
        <w:wordWrap/>
        <w:overflowPunct/>
        <w:topLinePunct w:val="0"/>
        <w:autoSpaceDE/>
        <w:autoSpaceDN/>
        <w:bidi w:val="0"/>
        <w:adjustRightInd/>
        <w:snapToGrid/>
        <w:spacing w:after="120" w:afterLines="50" w:line="360" w:lineRule="auto"/>
        <w:ind w:left="420" w:leftChars="0" w:hanging="420" w:firstLineChars="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Defining multiple remaining time levels and the corresponding rang in a table. The following table is an example in which the level 6 is used to report the </w:t>
      </w:r>
      <w:r>
        <w:rPr>
          <w:rFonts w:ascii="Times New Roman" w:hAnsi="Times New Roman" w:cs="Times New Roman"/>
        </w:rPr>
        <w:t>non-delay critical data</w:t>
      </w:r>
      <w:r>
        <w:rPr>
          <w:rFonts w:hint="eastAsia" w:ascii="Times New Roman" w:hAnsi="Times New Roman" w:cs="Times New Roman"/>
          <w:lang w:val="en-US" w:eastAsia="zh-CN"/>
        </w:rPr>
        <w:t>.</w:t>
      </w:r>
    </w:p>
    <w:tbl>
      <w:tblPr>
        <w:tblStyle w:val="22"/>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5963"/>
      </w:tblGrid>
      <w:tr w14:paraId="6EFE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31F96D4F">
            <w:pPr>
              <w:spacing w:before="120" w:beforeLines="50" w:after="120" w:afterLines="50"/>
              <w:rPr>
                <w:rFonts w:ascii="Times New Roman" w:hAnsi="Times New Roman" w:cs="Times New Roman"/>
              </w:rPr>
            </w:pPr>
            <w:r>
              <w:rPr>
                <w:rFonts w:hint="eastAsia" w:ascii="Times New Roman" w:hAnsi="Times New Roman" w:cs="Times New Roman"/>
              </w:rPr>
              <w:t>Remaining time level</w:t>
            </w:r>
          </w:p>
        </w:tc>
        <w:tc>
          <w:tcPr>
            <w:tcW w:w="5963" w:type="dxa"/>
          </w:tcPr>
          <w:p w14:paraId="17C46AF3">
            <w:pPr>
              <w:spacing w:before="120" w:beforeLines="50" w:after="120" w:afterLines="50"/>
              <w:rPr>
                <w:rFonts w:ascii="Times New Roman" w:hAnsi="Times New Roman" w:cs="Times New Roman"/>
              </w:rPr>
            </w:pPr>
            <w:r>
              <w:rPr>
                <w:rFonts w:hint="eastAsia" w:ascii="Times New Roman" w:hAnsi="Times New Roman" w:cs="Times New Roman"/>
              </w:rPr>
              <w:t>Remaining time range (ms)</w:t>
            </w:r>
          </w:p>
        </w:tc>
      </w:tr>
      <w:tr w14:paraId="724E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2077" w:type="dxa"/>
          </w:tcPr>
          <w:p w14:paraId="74CD0A6B">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0</w:t>
            </w:r>
          </w:p>
        </w:tc>
        <w:tc>
          <w:tcPr>
            <w:tcW w:w="5963" w:type="dxa"/>
          </w:tcPr>
          <w:p w14:paraId="38864286">
            <w:pPr>
              <w:rPr>
                <w:rFonts w:ascii="Times New Roman" w:hAnsi="Times New Roman" w:cs="Times New Roman"/>
              </w:rPr>
            </w:pPr>
            <w:r>
              <w:rPr>
                <w:rFonts w:hint="eastAsia" w:ascii="Times New Roman" w:hAnsi="Times New Roman" w:cs="Times New Roman"/>
              </w:rPr>
              <w:t>Remaining time &lt; 10</w:t>
            </w:r>
          </w:p>
        </w:tc>
      </w:tr>
      <w:tr w14:paraId="6F43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162A1670">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1</w:t>
            </w:r>
          </w:p>
        </w:tc>
        <w:tc>
          <w:tcPr>
            <w:tcW w:w="5963" w:type="dxa"/>
          </w:tcPr>
          <w:p w14:paraId="7A561B74">
            <w:pPr>
              <w:rPr>
                <w:rFonts w:ascii="Times New Roman" w:hAnsi="Times New Roman" w:cs="Times New Roman"/>
              </w:rPr>
            </w:pPr>
            <w:r>
              <w:rPr>
                <w:rFonts w:hint="eastAsia" w:ascii="Times New Roman" w:hAnsi="Times New Roman" w:cs="Times New Roman"/>
              </w:rPr>
              <w:t>10 &lt; Remaining time &lt; 20</w:t>
            </w:r>
          </w:p>
        </w:tc>
      </w:tr>
      <w:tr w14:paraId="730E4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4DED6B25">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2</w:t>
            </w:r>
          </w:p>
        </w:tc>
        <w:tc>
          <w:tcPr>
            <w:tcW w:w="5963" w:type="dxa"/>
          </w:tcPr>
          <w:p w14:paraId="008F46EA">
            <w:pPr>
              <w:rPr>
                <w:rFonts w:ascii="Times New Roman" w:hAnsi="Times New Roman" w:cs="Times New Roman"/>
              </w:rPr>
            </w:pPr>
            <w:r>
              <w:rPr>
                <w:rFonts w:hint="eastAsia" w:ascii="Times New Roman" w:hAnsi="Times New Roman" w:cs="Times New Roman"/>
              </w:rPr>
              <w:t>20 &lt; Remaining time &lt; 30</w:t>
            </w:r>
          </w:p>
        </w:tc>
      </w:tr>
      <w:tr w14:paraId="4F5F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7234935E">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3</w:t>
            </w:r>
          </w:p>
        </w:tc>
        <w:tc>
          <w:tcPr>
            <w:tcW w:w="5963" w:type="dxa"/>
          </w:tcPr>
          <w:p w14:paraId="5DC07613">
            <w:pPr>
              <w:rPr>
                <w:rFonts w:ascii="Times New Roman" w:hAnsi="Times New Roman" w:cs="Times New Roman"/>
              </w:rPr>
            </w:pPr>
            <w:r>
              <w:rPr>
                <w:rFonts w:hint="eastAsia" w:ascii="Times New Roman" w:hAnsi="Times New Roman" w:cs="Times New Roman"/>
              </w:rPr>
              <w:t>30 &lt; Remaining time &lt; 40</w:t>
            </w:r>
          </w:p>
        </w:tc>
      </w:tr>
      <w:tr w14:paraId="410D0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2AEFA368">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4</w:t>
            </w:r>
          </w:p>
        </w:tc>
        <w:tc>
          <w:tcPr>
            <w:tcW w:w="5963" w:type="dxa"/>
          </w:tcPr>
          <w:p w14:paraId="22F1BF92">
            <w:pPr>
              <w:rPr>
                <w:rFonts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 xml:space="preserve">0 &lt; Remaining time &lt; </w:t>
            </w:r>
            <w:r>
              <w:rPr>
                <w:rFonts w:hint="eastAsia" w:ascii="Times New Roman" w:hAnsi="Times New Roman" w:cs="Times New Roman"/>
                <w:lang w:val="en-US" w:eastAsia="zh-CN"/>
              </w:rPr>
              <w:t>5</w:t>
            </w:r>
            <w:r>
              <w:rPr>
                <w:rFonts w:hint="eastAsia" w:ascii="Times New Roman" w:hAnsi="Times New Roman" w:cs="Times New Roman"/>
              </w:rPr>
              <w:t>0</w:t>
            </w:r>
          </w:p>
        </w:tc>
      </w:tr>
      <w:tr w14:paraId="3AE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21A2FDA9">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5</w:t>
            </w:r>
          </w:p>
        </w:tc>
        <w:tc>
          <w:tcPr>
            <w:tcW w:w="5963" w:type="dxa"/>
          </w:tcPr>
          <w:p w14:paraId="627641AD">
            <w:pPr>
              <w:rPr>
                <w:rFonts w:ascii="Times New Roman" w:hAnsi="Times New Roman" w:cs="Times New Roman"/>
              </w:rPr>
            </w:pPr>
            <w:r>
              <w:rPr>
                <w:rFonts w:hint="eastAsia" w:ascii="Times New Roman" w:hAnsi="Times New Roman" w:cs="Times New Roman"/>
                <w:lang w:val="en-US" w:eastAsia="zh-CN"/>
              </w:rPr>
              <w:t>5</w:t>
            </w:r>
            <w:r>
              <w:rPr>
                <w:rFonts w:hint="eastAsia" w:ascii="Times New Roman" w:hAnsi="Times New Roman" w:cs="Times New Roman"/>
              </w:rPr>
              <w:t xml:space="preserve">0 &lt; Remaining time &lt; </w:t>
            </w:r>
            <w:r>
              <w:rPr>
                <w:rFonts w:hint="eastAsia" w:ascii="Times New Roman" w:hAnsi="Times New Roman" w:cs="Times New Roman"/>
                <w:lang w:val="en-US" w:eastAsia="zh-CN"/>
              </w:rPr>
              <w:t>6</w:t>
            </w:r>
            <w:r>
              <w:rPr>
                <w:rFonts w:hint="eastAsia" w:ascii="Times New Roman" w:hAnsi="Times New Roman" w:cs="Times New Roman"/>
              </w:rPr>
              <w:t>0</w:t>
            </w:r>
          </w:p>
        </w:tc>
      </w:tr>
      <w:tr w14:paraId="586D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tcPr>
          <w:p w14:paraId="59BC84EE">
            <w:pPr>
              <w:rPr>
                <w:rFonts w:hint="eastAsia" w:ascii="Times New Roman" w:hAnsi="Times New Roman" w:cs="Times New Roman" w:eastAsiaTheme="minorEastAsia"/>
                <w:lang w:eastAsia="zh-CN"/>
              </w:rPr>
            </w:pPr>
            <w:r>
              <w:rPr>
                <w:rFonts w:hint="eastAsia" w:ascii="Times New Roman" w:hAnsi="Times New Roman" w:cs="Times New Roman"/>
                <w:lang w:val="en-US" w:eastAsia="zh-CN"/>
              </w:rPr>
              <w:t>6</w:t>
            </w:r>
          </w:p>
        </w:tc>
        <w:tc>
          <w:tcPr>
            <w:tcW w:w="5963" w:type="dxa"/>
          </w:tcPr>
          <w:p w14:paraId="6683AF97">
            <w:pPr>
              <w:rPr>
                <w:rFonts w:ascii="Times New Roman" w:hAnsi="Times New Roman" w:cs="Times New Roman"/>
              </w:rPr>
            </w:pPr>
            <w:r>
              <w:rPr>
                <w:rFonts w:ascii="Times New Roman" w:hAnsi="Times New Roman" w:cs="Times New Roman"/>
              </w:rPr>
              <w:t>non-delay critical data</w:t>
            </w:r>
          </w:p>
        </w:tc>
      </w:tr>
    </w:tbl>
    <w:p w14:paraId="28F7DED0">
      <w:pPr>
        <w:numPr>
          <w:ilvl w:val="0"/>
          <w:numId w:val="7"/>
        </w:numPr>
        <w:spacing w:before="120" w:beforeLines="50" w:after="120" w:afterLines="50" w:line="360" w:lineRule="auto"/>
        <w:ind w:left="420" w:leftChars="0" w:hanging="420" w:firstLineChars="0"/>
        <w:jc w:val="both"/>
        <w:rPr>
          <w:rFonts w:hint="eastAsia" w:ascii="Times New Roman" w:hAnsi="Times New Roman" w:cs="Times New Roman"/>
          <w:lang w:val="en-US" w:eastAsia="zh-CN"/>
        </w:rPr>
      </w:pPr>
      <w:r>
        <w:rPr>
          <w:rFonts w:hint="eastAsia" w:ascii="Times New Roman" w:hAnsi="Times New Roman" w:cs="Times New Roman"/>
          <w:lang w:val="en-US" w:eastAsia="zh-CN"/>
        </w:rPr>
        <w:t>Configuring multiple remaining time levels and the corresponding rang for DSR by RRC message. The number of pairs of the remaining time levels and the corresponding rang is configurable but not exceeding the the maximum limits. And the configuration could be applicable for a LCG or UE.</w:t>
      </w:r>
    </w:p>
    <w:p w14:paraId="6BFC78A3">
      <w:pPr>
        <w:spacing w:after="120" w:afterLines="50" w:line="360" w:lineRule="auto"/>
        <w:rPr>
          <w:rFonts w:hint="default" w:ascii="Times New Roman" w:hAnsi="Times New Roman" w:cs="Times New Roman"/>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5</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define remaining time level and only include the index of the remaining time level in the DSR to simplify the MAC CE for multiple pairs of remaining time and buffer size</w:t>
      </w:r>
      <w:r>
        <w:rPr>
          <w:rFonts w:ascii="Times New Roman" w:hAnsi="Times New Roman" w:cs="Times New Roman"/>
          <w:b/>
          <w:bCs/>
          <w:i/>
          <w:iCs/>
          <w:szCs w:val="21"/>
        </w:rPr>
        <w:t>.</w:t>
      </w:r>
    </w:p>
    <w:p w14:paraId="09C0483A">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14:paraId="2D655DB5">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rPr>
        <w:t xml:space="preserve">the DSR enhancement for XR service </w:t>
      </w:r>
      <w:r>
        <w:rPr>
          <w:rFonts w:hint="eastAsia" w:ascii="Times New Roman" w:hAnsi="Times New Roman" w:cs="Times New Roman"/>
          <w:szCs w:val="21"/>
        </w:rPr>
        <w:t>and provided our proposals as follows:</w:t>
      </w:r>
    </w:p>
    <w:p w14:paraId="040E5F46">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configure multiple reporting thresholds and the first one is configured for triggering threshold implicitly for DSR</w:t>
      </w:r>
      <w:r>
        <w:rPr>
          <w:rFonts w:ascii="Times New Roman" w:hAnsi="Times New Roman" w:cs="Times New Roman"/>
          <w:b/>
          <w:bCs/>
          <w:i/>
          <w:iCs/>
          <w:szCs w:val="21"/>
        </w:rPr>
        <w:t>.</w:t>
      </w:r>
    </w:p>
    <w:p w14:paraId="6D672CB7">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reuse the legacy definition for delay critical data for the case of multiple reporting thresholds in the DSR</w:t>
      </w:r>
      <w:r>
        <w:rPr>
          <w:rFonts w:ascii="Times New Roman" w:hAnsi="Times New Roman" w:cs="Times New Roman"/>
          <w:b/>
          <w:bCs/>
          <w:i/>
          <w:iCs/>
          <w:szCs w:val="21"/>
        </w:rPr>
        <w:t>.</w:t>
      </w:r>
    </w:p>
    <w:p w14:paraId="0DE216E2">
      <w:pPr>
        <w:spacing w:after="120" w:afterLines="50"/>
        <w:rPr>
          <w:rFonts w:hint="eastAsia" w:ascii="Times New Roman" w:hAnsi="Times New Roman" w:cs="Times New Roman"/>
          <w:b/>
          <w:bCs/>
          <w:i/>
          <w:iCs/>
          <w:szCs w:val="21"/>
          <w:lang w:val="en-US" w:eastAsia="zh-CN"/>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not to include PSI information in DSR</w:t>
      </w:r>
      <w:r>
        <w:rPr>
          <w:rFonts w:ascii="Times New Roman" w:hAnsi="Times New Roman" w:cs="Times New Roman"/>
          <w:b/>
          <w:bCs/>
          <w:i/>
          <w:iCs/>
          <w:szCs w:val="21"/>
        </w:rPr>
        <w:t>.</w:t>
      </w:r>
    </w:p>
    <w:p w14:paraId="2F4500E6">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4: It is suggested to included buffer size information of the</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other data</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in enhanced DSR based on the configured multiple reporting threshold.</w:t>
      </w:r>
    </w:p>
    <w:p w14:paraId="37CEB8CB">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5</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to define remaining time level and only include the index of the remaining time level in the DSR to simplify the MAC CE for multiple pairs of remaining time and buffer size</w:t>
      </w:r>
      <w:r>
        <w:rPr>
          <w:rFonts w:ascii="Times New Roman" w:hAnsi="Times New Roman" w:cs="Times New Roman"/>
          <w:b/>
          <w:bCs/>
          <w:i/>
          <w:iCs/>
          <w:szCs w:val="21"/>
        </w:rPr>
        <w:t>.</w:t>
      </w:r>
    </w:p>
    <w:p w14:paraId="2A0C8CE7">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14:paraId="03B6FD96">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rPr>
        <w:t xml:space="preserve">RP-234057: </w:t>
      </w:r>
      <w:r>
        <w:rPr>
          <w:rFonts w:ascii="Times New Roman" w:hAnsi="Times New Roman" w:cs="Times New Roman"/>
        </w:rPr>
        <w:t>"New WID: XR (eXtended Reality) for NR Phase 3".</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ABA35"/>
    <w:multiLevelType w:val="singleLevel"/>
    <w:tmpl w:val="971ABA35"/>
    <w:lvl w:ilvl="0" w:tentative="0">
      <w:start w:val="1"/>
      <w:numFmt w:val="bullet"/>
      <w:lvlText w:val=""/>
      <w:lvlJc w:val="left"/>
      <w:pPr>
        <w:ind w:left="420" w:hanging="420"/>
      </w:pPr>
      <w:rPr>
        <w:rFonts w:hint="default" w:ascii="Wingdings" w:hAnsi="Wingdings"/>
      </w:rPr>
    </w:lvl>
  </w:abstractNum>
  <w:abstractNum w:abstractNumId="1">
    <w:nsid w:val="A3568F7F"/>
    <w:multiLevelType w:val="singleLevel"/>
    <w:tmpl w:val="A3568F7F"/>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2374F36C"/>
    <w:multiLevelType w:val="singleLevel"/>
    <w:tmpl w:val="2374F36C"/>
    <w:lvl w:ilvl="0" w:tentative="0">
      <w:start w:val="1"/>
      <w:numFmt w:val="bullet"/>
      <w:lvlText w:val=""/>
      <w:lvlJc w:val="left"/>
      <w:pPr>
        <w:tabs>
          <w:tab w:val="left" w:pos="420"/>
        </w:tabs>
        <w:ind w:left="840" w:hanging="420"/>
      </w:pPr>
      <w:rPr>
        <w:rFonts w:hint="default" w:ascii="Wingdings" w:hAnsi="Wingdings"/>
      </w:rPr>
    </w:lvl>
  </w:abstractNum>
  <w:abstractNum w:abstractNumId="4">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6">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5"/>
  </w:num>
  <w:num w:numId="2">
    <w:abstractNumId w:val="6"/>
  </w:num>
  <w:num w:numId="3">
    <w:abstractNumId w:val="4"/>
  </w:num>
  <w:num w:numId="4">
    <w:abstractNumId w:val="7"/>
  </w:num>
  <w:num w:numId="5">
    <w:abstractNumId w:val="0"/>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31B72"/>
    <w:rsid w:val="00172A27"/>
    <w:rsid w:val="001D2C3E"/>
    <w:rsid w:val="002F2773"/>
    <w:rsid w:val="00327893"/>
    <w:rsid w:val="00455276"/>
    <w:rsid w:val="00526E9D"/>
    <w:rsid w:val="005C34E1"/>
    <w:rsid w:val="00680B0A"/>
    <w:rsid w:val="007109E6"/>
    <w:rsid w:val="00747CF4"/>
    <w:rsid w:val="007E2DA4"/>
    <w:rsid w:val="00801DCF"/>
    <w:rsid w:val="00872B5B"/>
    <w:rsid w:val="008B1CC1"/>
    <w:rsid w:val="009B4084"/>
    <w:rsid w:val="00AD5960"/>
    <w:rsid w:val="00B36A82"/>
    <w:rsid w:val="00BE19BF"/>
    <w:rsid w:val="00BF38AA"/>
    <w:rsid w:val="00C70576"/>
    <w:rsid w:val="00D02949"/>
    <w:rsid w:val="00DF649C"/>
    <w:rsid w:val="00EA6ADF"/>
    <w:rsid w:val="00F929A3"/>
    <w:rsid w:val="00FC66A5"/>
    <w:rsid w:val="01054B02"/>
    <w:rsid w:val="010E1D4D"/>
    <w:rsid w:val="01330893"/>
    <w:rsid w:val="01B12E58"/>
    <w:rsid w:val="01C371DA"/>
    <w:rsid w:val="020411DA"/>
    <w:rsid w:val="024B505A"/>
    <w:rsid w:val="031B28AD"/>
    <w:rsid w:val="034877EC"/>
    <w:rsid w:val="034E4A60"/>
    <w:rsid w:val="036B7036"/>
    <w:rsid w:val="03DD6AF5"/>
    <w:rsid w:val="047162D4"/>
    <w:rsid w:val="04BD145A"/>
    <w:rsid w:val="055E50A5"/>
    <w:rsid w:val="0568310D"/>
    <w:rsid w:val="05756793"/>
    <w:rsid w:val="05A47ACE"/>
    <w:rsid w:val="05BB24F7"/>
    <w:rsid w:val="05D76C05"/>
    <w:rsid w:val="067D59FE"/>
    <w:rsid w:val="06897EFF"/>
    <w:rsid w:val="072D40F1"/>
    <w:rsid w:val="074D2750"/>
    <w:rsid w:val="07522471"/>
    <w:rsid w:val="07B94814"/>
    <w:rsid w:val="07FE2B1F"/>
    <w:rsid w:val="08537AA5"/>
    <w:rsid w:val="08FC1348"/>
    <w:rsid w:val="092A7ACA"/>
    <w:rsid w:val="09452F63"/>
    <w:rsid w:val="09680EB8"/>
    <w:rsid w:val="09E94E8E"/>
    <w:rsid w:val="09ED2CA5"/>
    <w:rsid w:val="0A481A1C"/>
    <w:rsid w:val="0AE314B1"/>
    <w:rsid w:val="0B1966D3"/>
    <w:rsid w:val="0B9C06D5"/>
    <w:rsid w:val="0BB62E8D"/>
    <w:rsid w:val="0C110567"/>
    <w:rsid w:val="0C397531"/>
    <w:rsid w:val="0C470E4F"/>
    <w:rsid w:val="0C812E6D"/>
    <w:rsid w:val="0C9E047D"/>
    <w:rsid w:val="0D350DE1"/>
    <w:rsid w:val="0D733868"/>
    <w:rsid w:val="0D9546F5"/>
    <w:rsid w:val="0DD51C7C"/>
    <w:rsid w:val="0DD65942"/>
    <w:rsid w:val="0DF57134"/>
    <w:rsid w:val="0E4A6F14"/>
    <w:rsid w:val="0E762255"/>
    <w:rsid w:val="0ED3362B"/>
    <w:rsid w:val="0EF50B08"/>
    <w:rsid w:val="0F672DA8"/>
    <w:rsid w:val="0F723A91"/>
    <w:rsid w:val="10E32902"/>
    <w:rsid w:val="1109680C"/>
    <w:rsid w:val="11660F6E"/>
    <w:rsid w:val="118934A9"/>
    <w:rsid w:val="11DF6823"/>
    <w:rsid w:val="121216F1"/>
    <w:rsid w:val="121758CF"/>
    <w:rsid w:val="12B46304"/>
    <w:rsid w:val="130D0D24"/>
    <w:rsid w:val="13826402"/>
    <w:rsid w:val="13A42136"/>
    <w:rsid w:val="13A520F1"/>
    <w:rsid w:val="14C710A8"/>
    <w:rsid w:val="14CD7B51"/>
    <w:rsid w:val="150B58AE"/>
    <w:rsid w:val="160067D9"/>
    <w:rsid w:val="160846A5"/>
    <w:rsid w:val="16161084"/>
    <w:rsid w:val="161A4308"/>
    <w:rsid w:val="163254BE"/>
    <w:rsid w:val="16D13B64"/>
    <w:rsid w:val="17FC2567"/>
    <w:rsid w:val="188B110E"/>
    <w:rsid w:val="18910936"/>
    <w:rsid w:val="18B03A11"/>
    <w:rsid w:val="18C221F9"/>
    <w:rsid w:val="18CD08A1"/>
    <w:rsid w:val="19014CAF"/>
    <w:rsid w:val="193D7353"/>
    <w:rsid w:val="197462BA"/>
    <w:rsid w:val="199B021E"/>
    <w:rsid w:val="199F6F5F"/>
    <w:rsid w:val="19AE61A3"/>
    <w:rsid w:val="1A28231A"/>
    <w:rsid w:val="1A4E237A"/>
    <w:rsid w:val="1AC90DBB"/>
    <w:rsid w:val="1C9A2F02"/>
    <w:rsid w:val="1CC76BF5"/>
    <w:rsid w:val="1CDB4C0A"/>
    <w:rsid w:val="1CE43C8A"/>
    <w:rsid w:val="1E1A2095"/>
    <w:rsid w:val="1E2E78B2"/>
    <w:rsid w:val="1E48054C"/>
    <w:rsid w:val="1E4C42FA"/>
    <w:rsid w:val="1F4F5F36"/>
    <w:rsid w:val="1F606D74"/>
    <w:rsid w:val="1F833B28"/>
    <w:rsid w:val="1FB262C1"/>
    <w:rsid w:val="20085EE1"/>
    <w:rsid w:val="205F59D0"/>
    <w:rsid w:val="20931D81"/>
    <w:rsid w:val="20E24984"/>
    <w:rsid w:val="219805DB"/>
    <w:rsid w:val="21AE2EDA"/>
    <w:rsid w:val="21C1459A"/>
    <w:rsid w:val="224551CB"/>
    <w:rsid w:val="227C4964"/>
    <w:rsid w:val="229C5AE9"/>
    <w:rsid w:val="23046E34"/>
    <w:rsid w:val="242D6721"/>
    <w:rsid w:val="246622C5"/>
    <w:rsid w:val="250F386E"/>
    <w:rsid w:val="25BE3C7D"/>
    <w:rsid w:val="25D60CFE"/>
    <w:rsid w:val="260F1B38"/>
    <w:rsid w:val="261B4D32"/>
    <w:rsid w:val="26777D2F"/>
    <w:rsid w:val="26FF2956"/>
    <w:rsid w:val="271E1505"/>
    <w:rsid w:val="273F3B6A"/>
    <w:rsid w:val="274E0EEF"/>
    <w:rsid w:val="27FC2BB9"/>
    <w:rsid w:val="291805BC"/>
    <w:rsid w:val="2944442E"/>
    <w:rsid w:val="294F692F"/>
    <w:rsid w:val="29B34A3B"/>
    <w:rsid w:val="2A8645D2"/>
    <w:rsid w:val="2AF479DB"/>
    <w:rsid w:val="2B017AE4"/>
    <w:rsid w:val="2B1E480B"/>
    <w:rsid w:val="2B5B780D"/>
    <w:rsid w:val="2B7D2D2D"/>
    <w:rsid w:val="2BD42BB5"/>
    <w:rsid w:val="2BE37795"/>
    <w:rsid w:val="2C7F5656"/>
    <w:rsid w:val="2D804734"/>
    <w:rsid w:val="2FA71273"/>
    <w:rsid w:val="2FCD67FF"/>
    <w:rsid w:val="303B772F"/>
    <w:rsid w:val="305B02AF"/>
    <w:rsid w:val="31696757"/>
    <w:rsid w:val="31DE1D58"/>
    <w:rsid w:val="321F68F6"/>
    <w:rsid w:val="32741B27"/>
    <w:rsid w:val="32B819E9"/>
    <w:rsid w:val="331210F9"/>
    <w:rsid w:val="33185FE3"/>
    <w:rsid w:val="331B468F"/>
    <w:rsid w:val="334F5FA3"/>
    <w:rsid w:val="335229B5"/>
    <w:rsid w:val="33B8055B"/>
    <w:rsid w:val="34F9242A"/>
    <w:rsid w:val="351752FE"/>
    <w:rsid w:val="353A3B9A"/>
    <w:rsid w:val="353D648E"/>
    <w:rsid w:val="35584DBD"/>
    <w:rsid w:val="35834C4F"/>
    <w:rsid w:val="35B041F8"/>
    <w:rsid w:val="35B5220F"/>
    <w:rsid w:val="35F033B2"/>
    <w:rsid w:val="365F25F1"/>
    <w:rsid w:val="367B459C"/>
    <w:rsid w:val="36B02E3E"/>
    <w:rsid w:val="37871C5F"/>
    <w:rsid w:val="37DF5322"/>
    <w:rsid w:val="38C14F85"/>
    <w:rsid w:val="38D95C84"/>
    <w:rsid w:val="395152B1"/>
    <w:rsid w:val="39C7397A"/>
    <w:rsid w:val="39C922D2"/>
    <w:rsid w:val="3A0E3D7F"/>
    <w:rsid w:val="3A1B148B"/>
    <w:rsid w:val="3A3C6A5B"/>
    <w:rsid w:val="3AC96BFA"/>
    <w:rsid w:val="3B0B0E31"/>
    <w:rsid w:val="3B423C8C"/>
    <w:rsid w:val="3BA42B0A"/>
    <w:rsid w:val="3C5E1386"/>
    <w:rsid w:val="3C6A376B"/>
    <w:rsid w:val="3CAD3871"/>
    <w:rsid w:val="3D0E6612"/>
    <w:rsid w:val="3D794C69"/>
    <w:rsid w:val="3DFB17D5"/>
    <w:rsid w:val="3E4459B8"/>
    <w:rsid w:val="3EED0255"/>
    <w:rsid w:val="3F6658E6"/>
    <w:rsid w:val="3F6F6A24"/>
    <w:rsid w:val="40E57C57"/>
    <w:rsid w:val="40FE523C"/>
    <w:rsid w:val="410C5707"/>
    <w:rsid w:val="42A539CE"/>
    <w:rsid w:val="434D4C01"/>
    <w:rsid w:val="435C04A2"/>
    <w:rsid w:val="43E11412"/>
    <w:rsid w:val="43FC748C"/>
    <w:rsid w:val="440525B4"/>
    <w:rsid w:val="44093E52"/>
    <w:rsid w:val="446F1C68"/>
    <w:rsid w:val="45264590"/>
    <w:rsid w:val="45961716"/>
    <w:rsid w:val="45A35BE1"/>
    <w:rsid w:val="460F14C8"/>
    <w:rsid w:val="46C61D41"/>
    <w:rsid w:val="471748B1"/>
    <w:rsid w:val="477E6B3A"/>
    <w:rsid w:val="47B42CE1"/>
    <w:rsid w:val="48053ACE"/>
    <w:rsid w:val="48147269"/>
    <w:rsid w:val="48517B76"/>
    <w:rsid w:val="487E765D"/>
    <w:rsid w:val="492522E2"/>
    <w:rsid w:val="49380D36"/>
    <w:rsid w:val="49CE695A"/>
    <w:rsid w:val="4AF131EF"/>
    <w:rsid w:val="4B407715"/>
    <w:rsid w:val="4BBB7216"/>
    <w:rsid w:val="4C453E95"/>
    <w:rsid w:val="4C6A7458"/>
    <w:rsid w:val="4C813C70"/>
    <w:rsid w:val="4CEE1E37"/>
    <w:rsid w:val="4D950505"/>
    <w:rsid w:val="4DA154D9"/>
    <w:rsid w:val="4DAB7D28"/>
    <w:rsid w:val="4E12758F"/>
    <w:rsid w:val="4E33426F"/>
    <w:rsid w:val="4E8862BB"/>
    <w:rsid w:val="4EE01C53"/>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F103B2"/>
    <w:rsid w:val="520819D0"/>
    <w:rsid w:val="520C50B4"/>
    <w:rsid w:val="53185506"/>
    <w:rsid w:val="5464633E"/>
    <w:rsid w:val="54A24E32"/>
    <w:rsid w:val="55AE2AAB"/>
    <w:rsid w:val="561B7217"/>
    <w:rsid w:val="572629E8"/>
    <w:rsid w:val="575C092A"/>
    <w:rsid w:val="578C2978"/>
    <w:rsid w:val="57DD1426"/>
    <w:rsid w:val="57FE17E4"/>
    <w:rsid w:val="580E348F"/>
    <w:rsid w:val="5877685D"/>
    <w:rsid w:val="588B70D4"/>
    <w:rsid w:val="589A1FD6"/>
    <w:rsid w:val="59975605"/>
    <w:rsid w:val="59AA78C5"/>
    <w:rsid w:val="59C3464B"/>
    <w:rsid w:val="59FD045D"/>
    <w:rsid w:val="5A026F22"/>
    <w:rsid w:val="5A177BA2"/>
    <w:rsid w:val="5A1F15C9"/>
    <w:rsid w:val="5A6F20DD"/>
    <w:rsid w:val="5B404577"/>
    <w:rsid w:val="5B73375B"/>
    <w:rsid w:val="5C1E4010"/>
    <w:rsid w:val="5CBB16CF"/>
    <w:rsid w:val="5CC46711"/>
    <w:rsid w:val="5D105DFA"/>
    <w:rsid w:val="5D4930BA"/>
    <w:rsid w:val="5DF57F28"/>
    <w:rsid w:val="5E24773B"/>
    <w:rsid w:val="5E3B3C08"/>
    <w:rsid w:val="5EEA61D6"/>
    <w:rsid w:val="5EEC63F2"/>
    <w:rsid w:val="5EF01530"/>
    <w:rsid w:val="5FA041B9"/>
    <w:rsid w:val="5FBE4D46"/>
    <w:rsid w:val="611963CD"/>
    <w:rsid w:val="62B92A90"/>
    <w:rsid w:val="62E34874"/>
    <w:rsid w:val="62E8147A"/>
    <w:rsid w:val="634A321E"/>
    <w:rsid w:val="639062F6"/>
    <w:rsid w:val="63BB7E61"/>
    <w:rsid w:val="63C06196"/>
    <w:rsid w:val="63DD0CDE"/>
    <w:rsid w:val="64147AC3"/>
    <w:rsid w:val="64201F2E"/>
    <w:rsid w:val="64312291"/>
    <w:rsid w:val="647B323D"/>
    <w:rsid w:val="649C3D0A"/>
    <w:rsid w:val="653B5642"/>
    <w:rsid w:val="654C28BC"/>
    <w:rsid w:val="65A840EC"/>
    <w:rsid w:val="65B92402"/>
    <w:rsid w:val="65F358C4"/>
    <w:rsid w:val="66884C53"/>
    <w:rsid w:val="66E63727"/>
    <w:rsid w:val="67645183"/>
    <w:rsid w:val="683A590B"/>
    <w:rsid w:val="685376AF"/>
    <w:rsid w:val="68F57755"/>
    <w:rsid w:val="695F47F3"/>
    <w:rsid w:val="696A6892"/>
    <w:rsid w:val="696B1111"/>
    <w:rsid w:val="69CA7330"/>
    <w:rsid w:val="6A3B5FBD"/>
    <w:rsid w:val="6A497336"/>
    <w:rsid w:val="6B3C6A30"/>
    <w:rsid w:val="6B8F25DF"/>
    <w:rsid w:val="6CB06CB1"/>
    <w:rsid w:val="6CEB5ACA"/>
    <w:rsid w:val="6D740478"/>
    <w:rsid w:val="6E6C7C05"/>
    <w:rsid w:val="6F2B2544"/>
    <w:rsid w:val="6F4060E9"/>
    <w:rsid w:val="6FC860C0"/>
    <w:rsid w:val="70A04FBC"/>
    <w:rsid w:val="72041505"/>
    <w:rsid w:val="72A863A1"/>
    <w:rsid w:val="740946D6"/>
    <w:rsid w:val="740B2A1F"/>
    <w:rsid w:val="740D49E9"/>
    <w:rsid w:val="74566E86"/>
    <w:rsid w:val="75976C60"/>
    <w:rsid w:val="75A445AE"/>
    <w:rsid w:val="76462308"/>
    <w:rsid w:val="772665FC"/>
    <w:rsid w:val="772B48E7"/>
    <w:rsid w:val="785C7CED"/>
    <w:rsid w:val="78610694"/>
    <w:rsid w:val="788A13BF"/>
    <w:rsid w:val="78A377B2"/>
    <w:rsid w:val="793A002E"/>
    <w:rsid w:val="797C2D3C"/>
    <w:rsid w:val="79E42D9A"/>
    <w:rsid w:val="7AAD7251"/>
    <w:rsid w:val="7ABC00E2"/>
    <w:rsid w:val="7B503B8C"/>
    <w:rsid w:val="7B62386D"/>
    <w:rsid w:val="7B727157"/>
    <w:rsid w:val="7BDB223D"/>
    <w:rsid w:val="7C081A90"/>
    <w:rsid w:val="7C2571BC"/>
    <w:rsid w:val="7CA15039"/>
    <w:rsid w:val="7CD54AA1"/>
    <w:rsid w:val="7D8D41BC"/>
    <w:rsid w:val="7DF06F0E"/>
    <w:rsid w:val="7E054E97"/>
    <w:rsid w:val="7E894D3F"/>
    <w:rsid w:val="7EA146AC"/>
    <w:rsid w:val="7F912972"/>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30"/>
    <w:autoRedefine/>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5"/>
    <w:autoRedefine/>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6"/>
    <w:autoRedefine/>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autoRedefine/>
    <w:qFormat/>
    <w:uiPriority w:val="0"/>
    <w:pPr>
      <w:spacing w:before="60"/>
      <w:ind w:left="1259" w:hanging="1259"/>
    </w:pPr>
  </w:style>
  <w:style w:type="paragraph" w:customStyle="1" w:styleId="6">
    <w:name w:val="Doc-text2"/>
    <w:basedOn w:val="1"/>
    <w:autoRedefine/>
    <w:qFormat/>
    <w:uiPriority w:val="0"/>
    <w:pPr>
      <w:tabs>
        <w:tab w:val="left" w:pos="1622"/>
      </w:tabs>
      <w:ind w:left="1622" w:hanging="363"/>
    </w:pPr>
  </w:style>
  <w:style w:type="paragraph" w:styleId="13">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6"/>
    <w:autoRedefine/>
    <w:semiHidden/>
    <w:unhideWhenUsed/>
    <w:qFormat/>
    <w:uiPriority w:val="99"/>
    <w:pPr>
      <w:jc w:val="left"/>
    </w:pPr>
  </w:style>
  <w:style w:type="paragraph" w:styleId="15">
    <w:name w:val="Body Text"/>
    <w:basedOn w:val="1"/>
    <w:autoRedefine/>
    <w:qFormat/>
    <w:uiPriority w:val="0"/>
    <w:pPr>
      <w:adjustRightInd w:val="0"/>
      <w:snapToGrid w:val="0"/>
      <w:spacing w:line="360" w:lineRule="auto"/>
      <w:ind w:firstLine="420"/>
    </w:pPr>
    <w:rPr>
      <w:rFonts w:eastAsia="楷体"/>
      <w:snapToGrid w:val="0"/>
    </w:r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5"/>
    <w:autoRedefine/>
    <w:unhideWhenUsed/>
    <w:qFormat/>
    <w:uiPriority w:val="99"/>
    <w:pPr>
      <w:tabs>
        <w:tab w:val="center" w:pos="4153"/>
        <w:tab w:val="right" w:pos="8306"/>
      </w:tabs>
      <w:snapToGrid w:val="0"/>
      <w:jc w:val="left"/>
    </w:pPr>
    <w:rPr>
      <w:sz w:val="18"/>
      <w:szCs w:val="18"/>
    </w:rPr>
  </w:style>
  <w:style w:type="paragraph" w:styleId="18">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List"/>
    <w:basedOn w:val="1"/>
    <w:autoRedefine/>
    <w:qFormat/>
    <w:uiPriority w:val="0"/>
    <w:pPr>
      <w:ind w:left="568" w:hanging="284"/>
    </w:pPr>
  </w:style>
  <w:style w:type="paragraph" w:styleId="20">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21">
    <w:name w:val="annotation subject"/>
    <w:basedOn w:val="14"/>
    <w:next w:val="14"/>
    <w:link w:val="47"/>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annotation reference"/>
    <w:basedOn w:val="24"/>
    <w:autoRedefine/>
    <w:unhideWhenUsed/>
    <w:qFormat/>
    <w:uiPriority w:val="99"/>
    <w:rPr>
      <w:sz w:val="16"/>
      <w:szCs w:val="16"/>
    </w:rPr>
  </w:style>
  <w:style w:type="character" w:customStyle="1" w:styleId="27">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3"/>
    <w:autoRedefine/>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4"/>
    <w:link w:val="7"/>
    <w:autoRedefine/>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8">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40">
    <w:name w:val="标题 9 字符"/>
    <w:basedOn w:val="24"/>
    <w:link w:val="12"/>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9"/>
    <w:autoRedefine/>
    <w:qFormat/>
    <w:uiPriority w:val="0"/>
  </w:style>
  <w:style w:type="paragraph" w:customStyle="1" w:styleId="43">
    <w:name w:val="NO"/>
    <w:basedOn w:val="1"/>
    <w:autoRedefine/>
    <w:qFormat/>
    <w:uiPriority w:val="0"/>
    <w:pPr>
      <w:keepLines/>
      <w:ind w:left="1135" w:hanging="851"/>
    </w:pPr>
  </w:style>
  <w:style w:type="character" w:customStyle="1" w:styleId="44">
    <w:name w:val="页眉 字符"/>
    <w:basedOn w:val="24"/>
    <w:link w:val="18"/>
    <w:autoRedefine/>
    <w:qFormat/>
    <w:uiPriority w:val="99"/>
    <w:rPr>
      <w:rFonts w:asciiTheme="minorHAnsi" w:hAnsiTheme="minorHAnsi" w:eastAsiaTheme="minorEastAsia" w:cstheme="minorBidi"/>
      <w:kern w:val="2"/>
      <w:sz w:val="18"/>
      <w:szCs w:val="18"/>
    </w:rPr>
  </w:style>
  <w:style w:type="character" w:customStyle="1" w:styleId="45">
    <w:name w:val="页脚 字符"/>
    <w:basedOn w:val="24"/>
    <w:link w:val="17"/>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4"/>
    <w:link w:val="14"/>
    <w:autoRedefine/>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21"/>
    <w:autoRedefine/>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4"/>
    <w:link w:val="16"/>
    <w:autoRedefine/>
    <w:semiHidden/>
    <w:qFormat/>
    <w:uiPriority w:val="99"/>
    <w:rPr>
      <w:rFonts w:asciiTheme="minorHAnsi" w:hAnsiTheme="minorHAnsi" w:eastAsiaTheme="minorEastAsia" w:cstheme="minorBidi"/>
      <w:kern w:val="2"/>
      <w:sz w:val="18"/>
      <w:szCs w:val="18"/>
    </w:rPr>
  </w:style>
  <w:style w:type="paragraph" w:customStyle="1" w:styleId="49">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1">
    <w:name w:val="Comments"/>
    <w:basedOn w:val="1"/>
    <w:autoRedefine/>
    <w:qFormat/>
    <w:uiPriority w:val="0"/>
    <w:rPr>
      <w:i/>
      <w:sz w:val="18"/>
    </w:rPr>
  </w:style>
  <w:style w:type="paragraph" w:customStyle="1" w:styleId="52">
    <w:name w:val="B2"/>
    <w:basedOn w:val="1"/>
    <w:autoRedefine/>
    <w:qFormat/>
    <w:uiPriority w:val="0"/>
    <w:pPr>
      <w:ind w:left="851" w:hanging="284"/>
    </w:pPr>
  </w:style>
  <w:style w:type="paragraph" w:customStyle="1" w:styleId="53">
    <w:name w:val="B3"/>
    <w:basedOn w:val="1"/>
    <w:autoRedefine/>
    <w:qFormat/>
    <w:uiPriority w:val="0"/>
    <w:pPr>
      <w:ind w:left="1135" w:hanging="284"/>
    </w:pPr>
  </w:style>
  <w:style w:type="paragraph" w:customStyle="1" w:styleId="54">
    <w:name w:val="Agreement"/>
    <w:basedOn w:val="1"/>
    <w:next w:val="6"/>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1391</Words>
  <Characters>7414</Characters>
  <Lines>36</Lines>
  <Paragraphs>10</Paragraphs>
  <TotalTime>2</TotalTime>
  <ScaleCrop>false</ScaleCrop>
  <LinksUpToDate>false</LinksUpToDate>
  <CharactersWithSpaces>8740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2024-10-04T04:29:21Z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17D3BA3AEEEB4F5A89C459EECEA78D97_13</vt:lpwstr>
  </property>
</Properties>
</file>